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78"/>
        <w:ind w:left="2503"/>
      </w:pPr>
      <w:r>
        <w:rPr/>
        <w:t>Прокуратура Убинского района разъясняет:</w:t>
      </w: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spacing w:line="244" w:lineRule="auto" w:before="219"/>
        <w:ind w:left="105" w:right="125" w:firstLine="708"/>
        <w:jc w:val="both"/>
      </w:pPr>
      <w:r>
        <w:rPr>
          <w:color w:val="151515"/>
        </w:rPr>
        <w:t>С </w:t>
      </w:r>
      <w:r>
        <w:rPr/>
        <w:t>30 </w:t>
      </w:r>
      <w:r>
        <w:rPr>
          <w:color w:val="0F0F0F"/>
        </w:rPr>
        <w:t>января </w:t>
      </w:r>
      <w:r>
        <w:rPr>
          <w:color w:val="161616"/>
        </w:rPr>
        <w:t>2020 </w:t>
      </w:r>
      <w:r>
        <w:rPr/>
        <w:t>года вступили </w:t>
      </w:r>
      <w:r>
        <w:rPr>
          <w:color w:val="080808"/>
        </w:rPr>
        <w:t>в </w:t>
      </w:r>
      <w:r>
        <w:rPr/>
        <w:t>силу изменения, внесенные Федеральным </w:t>
      </w:r>
      <w:r>
        <w:rPr>
          <w:color w:val="080808"/>
        </w:rPr>
        <w:t>законом </w:t>
      </w:r>
      <w:r>
        <w:rPr/>
        <w:t>от </w:t>
      </w:r>
      <w:r>
        <w:rPr>
          <w:color w:val="181818"/>
        </w:rPr>
        <w:t>2 </w:t>
      </w:r>
      <w:r>
        <w:rPr>
          <w:color w:val="0C0C0C"/>
        </w:rPr>
        <w:t>августа </w:t>
      </w:r>
      <w:r>
        <w:rPr/>
        <w:t>2019 года </w:t>
      </w:r>
      <w:r>
        <w:rPr>
          <w:color w:val="131313"/>
        </w:rPr>
        <w:t>№ </w:t>
      </w:r>
      <w:r>
        <w:rPr/>
        <w:t>280-ФЗ </w:t>
      </w:r>
      <w:r>
        <w:rPr>
          <w:color w:val="0F0F0F"/>
        </w:rPr>
        <w:t>в </w:t>
      </w:r>
      <w:r>
        <w:rPr/>
        <w:t>Федеральные законы «Об оружии», «Об охоте </w:t>
      </w:r>
      <w:r>
        <w:rPr>
          <w:color w:val="1C1C1C"/>
        </w:rPr>
        <w:t>и </w:t>
      </w:r>
      <w:r>
        <w:rPr>
          <w:color w:val="111111"/>
        </w:rPr>
        <w:t>о </w:t>
      </w:r>
      <w:r>
        <w:rPr/>
        <w:t>сохранении охотничьих ресурсов </w:t>
      </w:r>
      <w:r>
        <w:rPr>
          <w:color w:val="1A1A1A"/>
        </w:rPr>
        <w:t>и </w:t>
      </w:r>
      <w:r>
        <w:rPr/>
        <w:t>в отдельные законодательные акты </w:t>
      </w:r>
      <w:r>
        <w:rPr>
          <w:color w:val="111111"/>
        </w:rPr>
        <w:t>Российской </w:t>
      </w:r>
      <w:r>
        <w:rPr/>
        <w:t>Федерации».</w:t>
      </w:r>
    </w:p>
    <w:p>
      <w:pPr>
        <w:pStyle w:val="BodyText"/>
        <w:spacing w:line="242" w:lineRule="auto"/>
        <w:ind w:left="114" w:right="127" w:firstLine="699"/>
        <w:jc w:val="both"/>
      </w:pPr>
      <w:r>
        <w:rPr/>
        <w:t>Закон обозначил критерии, </w:t>
      </w:r>
      <w:r>
        <w:rPr>
          <w:color w:val="181818"/>
        </w:rPr>
        <w:t>по </w:t>
      </w:r>
      <w:r>
        <w:rPr/>
        <w:t>которым охотничьим метательным оружием можно признать лук, сила дуги которого составляет более </w:t>
      </w:r>
      <w:r>
        <w:rPr>
          <w:color w:val="0F0F0F"/>
        </w:rPr>
        <w:t>27 </w:t>
      </w:r>
      <w:r>
        <w:rPr/>
        <w:t>кг</w:t>
      </w:r>
      <w:r>
        <w:rPr>
          <w:spacing w:val="-28"/>
        </w:rPr>
        <w:t> </w:t>
      </w:r>
      <w:r>
        <w:rPr/>
        <w:t>на силу,</w:t>
      </w:r>
      <w:r>
        <w:rPr>
          <w:spacing w:val="-4"/>
        </w:rPr>
        <w:t> </w:t>
      </w:r>
      <w:r>
        <w:rPr>
          <w:color w:val="181818"/>
        </w:rPr>
        <w:t>и</w:t>
      </w:r>
      <w:r>
        <w:rPr>
          <w:color w:val="181818"/>
          <w:spacing w:val="-10"/>
        </w:rPr>
        <w:t> </w:t>
      </w:r>
      <w:r>
        <w:rPr>
          <w:color w:val="0C0C0C"/>
        </w:rPr>
        <w:t>арбалет,</w:t>
      </w:r>
      <w:r>
        <w:rPr>
          <w:color w:val="0C0C0C"/>
          <w:spacing w:val="-1"/>
        </w:rPr>
        <w:t> </w:t>
      </w:r>
      <w:r>
        <w:rPr/>
        <w:t>сила</w:t>
      </w:r>
      <w:r>
        <w:rPr>
          <w:spacing w:val="-3"/>
        </w:rPr>
        <w:t> </w:t>
      </w:r>
      <w:r>
        <w:rPr/>
        <w:t>дуг</w:t>
      </w:r>
      <w:r>
        <w:rPr>
          <w:spacing w:val="-3"/>
        </w:rPr>
        <w:t> </w:t>
      </w:r>
      <w:r>
        <w:rPr/>
        <w:t>которого</w:t>
      </w:r>
      <w:r>
        <w:rPr>
          <w:spacing w:val="2"/>
        </w:rPr>
        <w:t> </w:t>
      </w:r>
      <w:r>
        <w:rPr/>
        <w:t>составляет</w:t>
      </w:r>
      <w:r>
        <w:rPr>
          <w:spacing w:val="2"/>
        </w:rPr>
        <w:t> </w:t>
      </w:r>
      <w:r>
        <w:rPr/>
        <w:t>более</w:t>
      </w:r>
      <w:r>
        <w:rPr>
          <w:spacing w:val="-4"/>
        </w:rPr>
        <w:t> </w:t>
      </w:r>
      <w:r>
        <w:rPr>
          <w:color w:val="0E0E0E"/>
        </w:rPr>
        <w:t>43 </w:t>
      </w:r>
      <w:r>
        <w:rPr>
          <w:color w:val="0A0A0A"/>
        </w:rPr>
        <w:t>кг</w:t>
      </w:r>
      <w:r>
        <w:rPr>
          <w:color w:val="0A0A0A"/>
          <w:spacing w:val="-6"/>
        </w:rPr>
        <w:t> </w:t>
      </w:r>
      <w:r>
        <w:rPr>
          <w:color w:val="0E0E0E"/>
        </w:rPr>
        <w:t>на</w:t>
      </w:r>
      <w:r>
        <w:rPr>
          <w:color w:val="0E0E0E"/>
          <w:spacing w:val="-10"/>
        </w:rPr>
        <w:t> </w:t>
      </w:r>
      <w:r>
        <w:rPr>
          <w:color w:val="131313"/>
        </w:rPr>
        <w:t>силу</w:t>
      </w:r>
      <w:r>
        <w:rPr>
          <w:color w:val="131313"/>
          <w:spacing w:val="-5"/>
        </w:rPr>
        <w:t> </w:t>
      </w:r>
      <w:r>
        <w:rPr/>
        <w:t>(кгс).</w:t>
      </w:r>
      <w:r>
        <w:rPr>
          <w:spacing w:val="3"/>
        </w:rPr>
        <w:t> </w:t>
      </w:r>
      <w:r>
        <w:rPr/>
        <w:t>Это</w:t>
      </w:r>
      <w:r>
        <w:rPr>
          <w:spacing w:val="-10"/>
        </w:rPr>
        <w:t> </w:t>
      </w:r>
      <w:r>
        <w:rPr/>
        <w:t>- </w:t>
      </w:r>
      <w:r>
        <w:rPr>
          <w:w w:val="95"/>
        </w:rPr>
        <w:t>максимальное усилие натяжения </w:t>
      </w:r>
      <w:r>
        <w:rPr>
          <w:color w:val="0C0C0C"/>
          <w:w w:val="95"/>
        </w:rPr>
        <w:t>лука </w:t>
      </w:r>
      <w:r>
        <w:rPr>
          <w:color w:val="111111"/>
          <w:w w:val="95"/>
        </w:rPr>
        <w:t>или </w:t>
      </w:r>
      <w:r>
        <w:rPr>
          <w:w w:val="95"/>
        </w:rPr>
        <w:t>арбалета при растягиваиии тетивы </w:t>
      </w:r>
      <w:r>
        <w:rPr/>
        <w:t>в согнутои</w:t>
      </w:r>
      <w:r>
        <w:rPr>
          <w:spacing w:val="17"/>
        </w:rPr>
        <w:t> </w:t>
      </w:r>
      <w:r>
        <w:rPr/>
        <w:t>дуге.</w:t>
      </w:r>
    </w:p>
    <w:p>
      <w:pPr>
        <w:pStyle w:val="BodyText"/>
        <w:spacing w:line="242" w:lineRule="auto" w:before="5"/>
        <w:ind w:left="124" w:right="133" w:firstLine="698"/>
        <w:jc w:val="both"/>
      </w:pPr>
      <w:r>
        <w:rPr>
          <w:color w:val="131313"/>
        </w:rPr>
        <w:t>В </w:t>
      </w:r>
      <w:r>
        <w:rPr/>
        <w:t>настоящее время луки </w:t>
      </w:r>
      <w:r>
        <w:rPr>
          <w:color w:val="1A1A1A"/>
        </w:rPr>
        <w:t>и </w:t>
      </w:r>
      <w:r>
        <w:rPr/>
        <w:t>арбалеты смогут приобрести обладатели охотничьего билета </w:t>
      </w:r>
      <w:r>
        <w:rPr>
          <w:color w:val="0C0C0C"/>
        </w:rPr>
        <w:t>и </w:t>
      </w:r>
      <w:r>
        <w:rPr>
          <w:color w:val="080808"/>
        </w:rPr>
        <w:t>имеющие </w:t>
      </w:r>
      <w:r>
        <w:rPr/>
        <w:t>разрешение на ношение и хранение охотничьего огнестрельного оружия.</w:t>
      </w:r>
    </w:p>
    <w:p>
      <w:pPr>
        <w:pStyle w:val="BodyText"/>
        <w:spacing w:line="244" w:lineRule="auto"/>
        <w:ind w:left="124" w:right="108" w:firstLine="698"/>
        <w:jc w:val="both"/>
      </w:pPr>
      <w:r>
        <w:rPr/>
        <w:t>Приобретенное гражданином охотничье </w:t>
      </w:r>
      <w:r>
        <w:rPr>
          <w:color w:val="080808"/>
        </w:rPr>
        <w:t>метательное </w:t>
      </w:r>
      <w:r>
        <w:rPr/>
        <w:t>стрелковое </w:t>
      </w:r>
      <w:r>
        <w:rPr>
          <w:color w:val="0C0C0C"/>
        </w:rPr>
        <w:t>оружие </w:t>
      </w:r>
      <w:r>
        <w:rPr>
          <w:color w:val="0F0F0F"/>
        </w:rPr>
        <w:t>подлежит </w:t>
      </w:r>
      <w:r>
        <w:rPr/>
        <w:t>регистрации </w:t>
      </w:r>
      <w:r>
        <w:rPr>
          <w:color w:val="181818"/>
        </w:rPr>
        <w:t>в </w:t>
      </w:r>
      <w:r>
        <w:rPr/>
        <w:t>территориальном органе федерального органа исполнительной власти, уполномоченного </w:t>
      </w:r>
      <w:r>
        <w:rPr>
          <w:color w:val="2B2B2B"/>
        </w:rPr>
        <w:t>в </w:t>
      </w:r>
      <w:r>
        <w:rPr/>
        <w:t>сфере оборота оружия (кроме</w:t>
      </w:r>
      <w:r>
        <w:rPr>
          <w:spacing w:val="-4"/>
        </w:rPr>
        <w:t> </w:t>
      </w:r>
      <w:r>
        <w:rPr/>
        <w:t>того,</w:t>
      </w:r>
      <w:r>
        <w:rPr>
          <w:spacing w:val="-7"/>
        </w:rPr>
        <w:t> </w:t>
      </w:r>
      <w:r>
        <w:rPr/>
        <w:t>граждане</w:t>
      </w:r>
      <w:r>
        <w:rPr>
          <w:spacing w:val="1"/>
        </w:rPr>
        <w:t> </w:t>
      </w:r>
      <w:r>
        <w:rPr/>
        <w:t>не</w:t>
      </w:r>
      <w:r>
        <w:rPr>
          <w:spacing w:val="-10"/>
        </w:rPr>
        <w:t> </w:t>
      </w:r>
      <w:r>
        <w:rPr/>
        <w:t>реже</w:t>
      </w:r>
      <w:r>
        <w:rPr>
          <w:spacing w:val="-10"/>
        </w:rPr>
        <w:t> </w:t>
      </w:r>
      <w:r>
        <w:rPr/>
        <w:t>одного</w:t>
      </w:r>
      <w:r>
        <w:rPr>
          <w:spacing w:val="-10"/>
        </w:rPr>
        <w:t> </w:t>
      </w:r>
      <w:r>
        <w:rPr/>
        <w:t>раза</w:t>
      </w:r>
      <w:r>
        <w:rPr>
          <w:spacing w:val="-13"/>
        </w:rPr>
        <w:t> </w:t>
      </w:r>
      <w:r>
        <w:rPr>
          <w:color w:val="1F1F1F"/>
        </w:rPr>
        <w:t>в</w:t>
      </w:r>
      <w:r>
        <w:rPr>
          <w:color w:val="1F1F1F"/>
          <w:spacing w:val="-15"/>
        </w:rPr>
        <w:t> </w:t>
      </w:r>
      <w:r>
        <w:rPr/>
        <w:t>пять</w:t>
      </w:r>
      <w:r>
        <w:rPr>
          <w:spacing w:val="-8"/>
        </w:rPr>
        <w:t> </w:t>
      </w:r>
      <w:r>
        <w:rPr>
          <w:color w:val="111111"/>
        </w:rPr>
        <w:t>лет</w:t>
      </w:r>
      <w:r>
        <w:rPr>
          <w:color w:val="111111"/>
          <w:spacing w:val="-14"/>
        </w:rPr>
        <w:t> </w:t>
      </w:r>
      <w:r>
        <w:rPr/>
        <w:t>обязаны</w:t>
      </w:r>
      <w:r>
        <w:rPr>
          <w:spacing w:val="-5"/>
        </w:rPr>
        <w:t> </w:t>
      </w:r>
      <w:r>
        <w:rPr/>
        <w:t>представлять медицинское заключение </w:t>
      </w:r>
      <w:r>
        <w:rPr>
          <w:color w:val="0F0F0F"/>
        </w:rPr>
        <w:t>об </w:t>
      </w:r>
      <w:r>
        <w:rPr/>
        <w:t>отсутствии медицинских противопоказаний </w:t>
      </w:r>
      <w:r>
        <w:rPr>
          <w:color w:val="080808"/>
        </w:rPr>
        <w:t>к </w:t>
      </w:r>
      <w:r>
        <w:rPr/>
        <w:t>владению</w:t>
      </w:r>
      <w:r>
        <w:rPr>
          <w:spacing w:val="20"/>
        </w:rPr>
        <w:t> </w:t>
      </w:r>
      <w:r>
        <w:rPr/>
        <w:t>оружием).</w:t>
      </w:r>
    </w:p>
    <w:p>
      <w:pPr>
        <w:pStyle w:val="BodyText"/>
        <w:rPr>
          <w:sz w:val="32"/>
        </w:rPr>
      </w:pPr>
    </w:p>
    <w:p>
      <w:pPr>
        <w:pStyle w:val="BodyText"/>
        <w:spacing w:before="208"/>
        <w:ind w:left="132"/>
      </w:pPr>
      <w:r>
        <w:rPr/>
        <w:drawing>
          <wp:anchor distT="0" distB="0" distL="0" distR="0" allowOverlap="1" layoutInCell="1" locked="0" behindDoc="1" simplePos="0" relativeHeight="487570432">
            <wp:simplePos x="0" y="0"/>
            <wp:positionH relativeFrom="page">
              <wp:posOffset>3468623</wp:posOffset>
            </wp:positionH>
            <wp:positionV relativeFrom="paragraph">
              <wp:posOffset>-22001</wp:posOffset>
            </wp:positionV>
            <wp:extent cx="3364991" cy="725424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64991" cy="7254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Прокурор раиона</w:t>
      </w:r>
    </w:p>
    <w:p>
      <w:pPr>
        <w:pStyle w:val="BodyText"/>
        <w:tabs>
          <w:tab w:pos="7581" w:val="left" w:leader="none"/>
        </w:tabs>
        <w:spacing w:before="163"/>
        <w:ind w:left="143"/>
      </w:pPr>
      <w:r>
        <w:rPr/>
        <w:t>младшии</w:t>
      </w:r>
      <w:r>
        <w:rPr>
          <w:spacing w:val="-29"/>
        </w:rPr>
        <w:t> </w:t>
      </w:r>
      <w:r>
        <w:rPr/>
        <w:t>советник</w:t>
      </w:r>
      <w:r>
        <w:rPr>
          <w:spacing w:val="-28"/>
        </w:rPr>
        <w:t> </w:t>
      </w:r>
      <w:r>
        <w:rPr/>
        <w:t>юстиции</w:t>
        <w:tab/>
        <w:t>Р.В.</w:t>
      </w:r>
      <w:r>
        <w:rPr>
          <w:spacing w:val="6"/>
        </w:rPr>
        <w:t> </w:t>
      </w:r>
      <w:r>
        <w:rPr/>
        <w:t>Кондрашев</w:t>
      </w:r>
    </w:p>
    <w:sectPr>
      <w:type w:val="continuous"/>
      <w:pgSz w:w="11900" w:h="16840"/>
      <w:pgMar w:top="1000" w:bottom="280" w:left="1580" w:right="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mbria">
    <w:altName w:val="Cambria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mbria" w:hAnsi="Cambria" w:eastAsia="Cambria" w:cs="Cambria"/>
      <w:lang w:val="ru-RU" w:eastAsia="ru-RU" w:bidi="ru-RU"/>
    </w:rPr>
  </w:style>
  <w:style w:styleId="BodyText" w:type="paragraph">
    <w:name w:val="Body Text"/>
    <w:basedOn w:val="Normal"/>
    <w:uiPriority w:val="1"/>
    <w:qFormat/>
    <w:pPr/>
    <w:rPr>
      <w:rFonts w:ascii="Cambria" w:hAnsi="Cambria" w:eastAsia="Cambria" w:cs="Cambria"/>
      <w:sz w:val="27"/>
      <w:szCs w:val="27"/>
      <w:lang w:val="ru-RU" w:eastAsia="ru-RU" w:bidi="ru-RU"/>
    </w:rPr>
  </w:style>
  <w:style w:styleId="ListParagraph" w:type="paragraph">
    <w:name w:val="List Paragraph"/>
    <w:basedOn w:val="Normal"/>
    <w:uiPriority w:val="1"/>
    <w:qFormat/>
    <w:pPr/>
    <w:rPr>
      <w:lang w:val="ru-RU" w:eastAsia="ru-RU" w:bidi="ru-RU"/>
    </w:rPr>
  </w:style>
  <w:style w:styleId="TableParagraph" w:type="paragraph">
    <w:name w:val="Table Paragraph"/>
    <w:basedOn w:val="Normal"/>
    <w:uiPriority w:val="1"/>
    <w:qFormat/>
    <w:pPr/>
    <w:rPr>
      <w:lang w:val="ru-RU" w:eastAsia="ru-RU" w:bidi="ru-RU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2020-03-23T04:59:12Z</dcterms:created>
  <dcterms:modified xsi:type="dcterms:W3CDTF">2020-03-23T04:59:12Z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2020-03-31T00:00:00Z</vt:filetime>
  </property>
  <property fmtid="{D5CDD505-2E9C-101B-9397-08002B2CF9AE}" pid="3" name="LastSaved">
    <vt:filetime>2020-03-23T00:00:00Z</vt:filetime>
  </property>
</Properties>
</file>